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#8</w:t>
      </w:r>
      <w:r w:rsidR="00BA1DAF">
        <w:rPr>
          <w:rFonts w:ascii="Arial" w:hAnsi="Arial" w:cs="Arial"/>
          <w:b/>
          <w:sz w:val="24"/>
          <w:szCs w:val="24"/>
        </w:rPr>
        <w:t>5</w:t>
      </w:r>
      <w:r w:rsidR="00A774B4" w:rsidRPr="00A774B4">
        <w:rPr>
          <w:rFonts w:ascii="Arial" w:hAnsi="Arial" w:cs="Arial"/>
          <w:b/>
          <w:sz w:val="24"/>
          <w:szCs w:val="24"/>
        </w:rPr>
        <w:tab/>
        <w:t>R4-17</w:t>
      </w:r>
      <w:r w:rsidR="00F116E3">
        <w:rPr>
          <w:rFonts w:ascii="Arial" w:hAnsi="Arial" w:cs="Arial"/>
          <w:b/>
          <w:sz w:val="24"/>
          <w:szCs w:val="24"/>
        </w:rPr>
        <w:t>1</w:t>
      </w:r>
      <w:r w:rsidR="0098788F">
        <w:rPr>
          <w:rFonts w:ascii="Arial" w:hAnsi="Arial" w:cs="Arial"/>
          <w:b/>
          <w:sz w:val="24"/>
          <w:szCs w:val="24"/>
        </w:rPr>
        <w:t>3261</w:t>
      </w:r>
      <w:r w:rsidR="00A774B4" w:rsidRPr="00A774B4">
        <w:rPr>
          <w:rFonts w:ascii="Arial" w:hAnsi="Arial" w:cs="Arial"/>
          <w:b/>
          <w:sz w:val="24"/>
          <w:szCs w:val="24"/>
        </w:rPr>
        <w:br/>
      </w:r>
      <w:r w:rsidR="00BA1DAF">
        <w:rPr>
          <w:rFonts w:ascii="Arial" w:hAnsi="Arial" w:cs="Arial"/>
          <w:b/>
          <w:sz w:val="24"/>
          <w:szCs w:val="24"/>
        </w:rPr>
        <w:t>Reno</w:t>
      </w:r>
      <w:r w:rsidRPr="00020097">
        <w:rPr>
          <w:rFonts w:ascii="Arial" w:hAnsi="Arial" w:cs="Arial"/>
          <w:b/>
          <w:sz w:val="24"/>
          <w:szCs w:val="24"/>
        </w:rPr>
        <w:t>,</w:t>
      </w:r>
      <w:r w:rsidR="00BA1DAF">
        <w:rPr>
          <w:rFonts w:ascii="Arial" w:hAnsi="Arial" w:cs="Arial"/>
          <w:b/>
          <w:sz w:val="24"/>
          <w:szCs w:val="24"/>
        </w:rPr>
        <w:t xml:space="preserve"> Nevada, USA, </w:t>
      </w:r>
      <w:r w:rsidR="00267FB0">
        <w:rPr>
          <w:rFonts w:ascii="Arial" w:hAnsi="Arial" w:cs="Arial"/>
          <w:b/>
          <w:sz w:val="24"/>
          <w:szCs w:val="24"/>
        </w:rPr>
        <w:t>27</w:t>
      </w:r>
      <w:r w:rsidR="00267FB0" w:rsidRPr="004C5B03">
        <w:rPr>
          <w:rFonts w:ascii="Arial" w:hAnsi="Arial" w:cs="Arial"/>
          <w:b/>
          <w:sz w:val="24"/>
          <w:szCs w:val="24"/>
          <w:vertAlign w:val="superscript"/>
        </w:rPr>
        <w:t>th</w:t>
      </w:r>
      <w:r w:rsidR="00267FB0">
        <w:rPr>
          <w:rFonts w:ascii="Arial" w:hAnsi="Arial" w:cs="Arial"/>
          <w:b/>
          <w:sz w:val="24"/>
          <w:szCs w:val="24"/>
        </w:rPr>
        <w:t xml:space="preserve"> November – 1</w:t>
      </w:r>
      <w:r w:rsidR="00267FB0" w:rsidRPr="004C5B03">
        <w:rPr>
          <w:rFonts w:ascii="Arial" w:hAnsi="Arial" w:cs="Arial"/>
          <w:b/>
          <w:sz w:val="24"/>
          <w:szCs w:val="24"/>
          <w:vertAlign w:val="superscript"/>
        </w:rPr>
        <w:t>st</w:t>
      </w:r>
      <w:r w:rsidRPr="00020097">
        <w:rPr>
          <w:rFonts w:ascii="Arial" w:hAnsi="Arial" w:cs="Arial"/>
          <w:b/>
          <w:sz w:val="24"/>
          <w:szCs w:val="24"/>
        </w:rPr>
        <w:t>, 2017</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F116E3">
        <w:rPr>
          <w:rFonts w:ascii="Arial" w:hAnsi="Arial" w:cs="Arial"/>
        </w:rPr>
        <w:t>ZTE Corp.</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r w:rsidR="00361317">
        <w:rPr>
          <w:rFonts w:ascii="Arial" w:hAnsi="Arial" w:cs="Arial"/>
        </w:rPr>
        <w:t>Further clarification on wideband operation</w:t>
      </w:r>
    </w:p>
    <w:p w:rsidR="00A774B4" w:rsidRPr="00A774B4" w:rsidRDefault="00A774B4" w:rsidP="00A774B4">
      <w:pPr>
        <w:ind w:left="1985" w:hanging="1985"/>
        <w:rPr>
          <w:rFonts w:ascii="Arial" w:hAnsi="Arial" w:cs="Arial"/>
        </w:rPr>
      </w:pPr>
      <w:r w:rsidRPr="00A774B4">
        <w:rPr>
          <w:rFonts w:ascii="Arial" w:hAnsi="Arial" w:cs="Arial"/>
          <w:b/>
        </w:rPr>
        <w:t>Agenda item:</w:t>
      </w:r>
      <w:r w:rsidRPr="00A774B4">
        <w:rPr>
          <w:rFonts w:ascii="Arial" w:hAnsi="Arial" w:cs="Arial"/>
        </w:rPr>
        <w:tab/>
      </w:r>
      <w:r w:rsidR="009B4514">
        <w:rPr>
          <w:rFonts w:ascii="Arial" w:hAnsi="Arial" w:cs="Arial"/>
        </w:rPr>
        <w:t>9.3.</w:t>
      </w:r>
      <w:r w:rsidR="00DD459C">
        <w:rPr>
          <w:rFonts w:ascii="Arial" w:hAnsi="Arial" w:cs="Arial"/>
        </w:rPr>
        <w:t>1.</w:t>
      </w:r>
      <w:r w:rsidR="009B4514">
        <w:rPr>
          <w:rFonts w:ascii="Arial" w:hAnsi="Arial" w:cs="Arial"/>
        </w:rPr>
        <w:t>2</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r>
      <w:r w:rsidR="00FE6653">
        <w:rPr>
          <w:rFonts w:ascii="Arial" w:hAnsi="Arial" w:cs="Arial"/>
        </w:rPr>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4B3A1A" w:rsidRDefault="004B3A1A" w:rsidP="004B3A1A">
      <w:r>
        <w:t xml:space="preserve">In </w:t>
      </w:r>
      <w:r w:rsidR="001A14EB">
        <w:t>RAN1 NR AH #3</w:t>
      </w:r>
      <w:r>
        <w:t xml:space="preserve">, </w:t>
      </w:r>
      <w:r w:rsidR="001A14EB">
        <w:t>there was one further agreement on active number of BWP in the wideband operation</w:t>
      </w:r>
      <w:r>
        <w:t xml:space="preserve"> [1].</w:t>
      </w:r>
    </w:p>
    <w:p w:rsidR="007D123F" w:rsidRPr="007D123F" w:rsidRDefault="001A14EB" w:rsidP="001A14EB">
      <w:pPr>
        <w:pStyle w:val="ListParagraph"/>
        <w:numPr>
          <w:ilvl w:val="0"/>
          <w:numId w:val="4"/>
        </w:numPr>
        <w:rPr>
          <w:i/>
        </w:rPr>
      </w:pPr>
      <w:r w:rsidRPr="001A14EB">
        <w:rPr>
          <w:i/>
        </w:rPr>
        <w:t>In Rel-15, for a UE, there is at most one active DL BWP and at most one active UL BWP at a given time for a serving cell</w:t>
      </w:r>
    </w:p>
    <w:p w:rsidR="0035495C" w:rsidRDefault="0035495C" w:rsidP="0035495C">
      <w:r>
        <w:t>This agreement actually caused confusion in RAN4 and one LS was approved in RAN4 #84bis requesting RAN1 to clarify the potential conflict between RAN1 and RAN4 agreement on the applicability of RAN1 agreement on BWP to case2 i.e. the feasibility to activate both BWP(1,1) and BWP(2,1) simultaneously for UE2 in Case 2</w:t>
      </w:r>
      <w:r w:rsidR="005F1A46">
        <w:t xml:space="preserve"> shown in the following figure</w:t>
      </w:r>
      <w:r>
        <w:t xml:space="preserve"> [2].</w:t>
      </w:r>
    </w:p>
    <w:p w:rsidR="005F1A46" w:rsidRDefault="005F1A46" w:rsidP="005F1A46">
      <w:pPr>
        <w:jc w:val="center"/>
      </w:pPr>
      <w:r w:rsidRPr="005F1A46">
        <w:rPr>
          <w:noProof/>
          <w:lang w:val="en-US" w:eastAsia="zh-CN"/>
        </w:rPr>
        <w:drawing>
          <wp:inline distT="0" distB="0" distL="0" distR="0">
            <wp:extent cx="5486400" cy="123888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519629" cy="2600984"/>
                      <a:chOff x="590309" y="893724"/>
                      <a:chExt cx="11519629" cy="2600984"/>
                    </a:xfrm>
                  </a:grpSpPr>
                  <a:sp>
                    <a:nvSpPr>
                      <a:cNvPr id="33" name="TextBox 32"/>
                      <a:cNvSpPr txBox="1"/>
                    </a:nvSpPr>
                    <a:spPr>
                      <a:xfrm>
                        <a:off x="590309" y="1046224"/>
                        <a:ext cx="1457091"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ko-KR" dirty="0"/>
                            <a:t>Rel-15 </a:t>
                          </a:r>
                          <a:r>
                            <a:rPr lang="en-US" altLang="ko-KR" dirty="0" err="1"/>
                            <a:t>gNB</a:t>
                          </a:r>
                          <a:endParaRPr lang="ko-KR" altLang="en-US" dirty="0"/>
                        </a:p>
                      </a:txBody>
                      <a:useSpRect/>
                    </a:txSp>
                  </a:sp>
                  <a:sp>
                    <a:nvSpPr>
                      <a:cNvPr id="35" name="직사각형 3"/>
                      <a:cNvSpPr/>
                    </a:nvSpPr>
                    <a:spPr>
                      <a:xfrm>
                        <a:off x="1900612" y="942131"/>
                        <a:ext cx="3630072" cy="559012"/>
                      </a:xfrm>
                      <a:prstGeom prst="rect">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a:solidFill>
                                <a:schemeClr val="tx1"/>
                              </a:solidFill>
                            </a:rPr>
                            <a:t>BS CC1</a:t>
                          </a:r>
                        </a:p>
                        <a:p>
                          <a:pPr algn="ctr"/>
                          <a:r>
                            <a:rPr lang="en-US" altLang="ko-KR" sz="1400" dirty="0">
                              <a:solidFill>
                                <a:schemeClr val="tx1"/>
                              </a:solidFill>
                            </a:rPr>
                            <a:t>(400MHz)</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직사각형 3"/>
                      <a:cNvSpPr/>
                    </a:nvSpPr>
                    <a:spPr>
                      <a:xfrm>
                        <a:off x="1900612" y="1544578"/>
                        <a:ext cx="7256040" cy="556929"/>
                      </a:xfrm>
                      <a:prstGeom prst="rect">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a:solidFill>
                                <a:schemeClr val="tx1"/>
                              </a:solidFill>
                            </a:rPr>
                            <a:t>BS CC1</a:t>
                          </a:r>
                        </a:p>
                        <a:p>
                          <a:pPr algn="ctr"/>
                          <a:r>
                            <a:rPr lang="en-US" altLang="ko-KR" sz="1400" dirty="0">
                              <a:solidFill>
                                <a:schemeClr val="tx1"/>
                              </a:solidFill>
                            </a:rPr>
                            <a:t>(800MHz)</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TextBox 53"/>
                      <a:cNvSpPr txBox="1"/>
                    </a:nvSpPr>
                    <a:spPr>
                      <a:xfrm>
                        <a:off x="590309" y="1647715"/>
                        <a:ext cx="1457091"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ko-KR" dirty="0" err="1"/>
                            <a:t>Rel</a:t>
                          </a:r>
                          <a:r>
                            <a:rPr lang="en-US" altLang="ko-KR" dirty="0"/>
                            <a:t>-x </a:t>
                          </a:r>
                          <a:r>
                            <a:rPr lang="en-US" altLang="ko-KR" dirty="0" err="1"/>
                            <a:t>gNB</a:t>
                          </a:r>
                          <a:endParaRPr lang="ko-KR" altLang="en-US" dirty="0"/>
                        </a:p>
                      </a:txBody>
                      <a:useSpRect/>
                    </a:txSp>
                  </a:sp>
                  <a:sp>
                    <a:nvSpPr>
                      <a:cNvPr id="56" name="직사각형 3"/>
                      <a:cNvSpPr/>
                    </a:nvSpPr>
                    <a:spPr>
                      <a:xfrm>
                        <a:off x="5528632" y="942131"/>
                        <a:ext cx="3630072" cy="559012"/>
                      </a:xfrm>
                      <a:prstGeom prst="rect">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a:solidFill>
                                <a:schemeClr val="tx1"/>
                              </a:solidFill>
                            </a:rPr>
                            <a:t>BS CC2</a:t>
                          </a:r>
                        </a:p>
                        <a:p>
                          <a:pPr algn="ctr"/>
                          <a:r>
                            <a:rPr lang="en-US" altLang="ko-KR" sz="1400" dirty="0">
                              <a:solidFill>
                                <a:schemeClr val="tx1"/>
                              </a:solidFill>
                            </a:rPr>
                            <a:t>(400MHz)</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직사각형 3"/>
                      <a:cNvSpPr/>
                    </a:nvSpPr>
                    <a:spPr>
                      <a:xfrm>
                        <a:off x="1900612" y="2176886"/>
                        <a:ext cx="1826436" cy="559012"/>
                      </a:xfrm>
                      <a:prstGeom prst="rect">
                        <a:avLst/>
                      </a:prstGeom>
                      <a:solidFill>
                        <a:schemeClr val="accent1">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smtClean="0">
                              <a:solidFill>
                                <a:schemeClr val="tx1"/>
                              </a:solidFill>
                            </a:rPr>
                            <a:t>UE2 </a:t>
                          </a:r>
                          <a:r>
                            <a:rPr lang="en-US" altLang="ko-KR" dirty="0">
                              <a:solidFill>
                                <a:schemeClr val="tx1"/>
                              </a:solidFill>
                            </a:rPr>
                            <a:t>CC1</a:t>
                          </a:r>
                        </a:p>
                        <a:p>
                          <a:pPr algn="ctr"/>
                          <a:r>
                            <a:rPr lang="en-US" altLang="ko-KR" sz="1400" dirty="0">
                              <a:solidFill>
                                <a:schemeClr val="tx1"/>
                              </a:solidFill>
                            </a:rPr>
                            <a:t>(200MHz)</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모서리가 둥근 사각형 설명선 30"/>
                      <a:cNvSpPr/>
                    </a:nvSpPr>
                    <a:spPr>
                      <a:xfrm>
                        <a:off x="6598530" y="1778239"/>
                        <a:ext cx="3148143" cy="607418"/>
                      </a:xfrm>
                      <a:prstGeom prst="wedgeRoundRectCallout">
                        <a:avLst>
                          <a:gd name="adj1" fmla="val -76291"/>
                          <a:gd name="adj2" fmla="val 59772"/>
                          <a:gd name="adj3" fmla="val 16667"/>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smtClean="0">
                              <a:solidFill>
                                <a:schemeClr val="bg1"/>
                              </a:solidFill>
                            </a:rPr>
                            <a:t>RAN4 agreement</a:t>
                          </a:r>
                          <a:endParaRPr lang="ko-KR" altLang="en-US" strike="sngStrike"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모서리가 둥근 사각형 설명선 30"/>
                      <a:cNvSpPr/>
                    </a:nvSpPr>
                    <a:spPr>
                      <a:xfrm>
                        <a:off x="9932156" y="893724"/>
                        <a:ext cx="2177782" cy="1283161"/>
                      </a:xfrm>
                      <a:prstGeom prst="wedgeRoundRectCallout">
                        <a:avLst>
                          <a:gd name="adj1" fmla="val -80321"/>
                          <a:gd name="adj2" fmla="val -20105"/>
                          <a:gd name="adj3" fmla="val 16667"/>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a:t>BS CCs are contiguous and may have GB depending on raster</a:t>
                          </a:r>
                          <a:endParaRPr lang="ko-KR"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직사각형 17"/>
                      <a:cNvSpPr/>
                    </a:nvSpPr>
                    <a:spPr>
                      <a:xfrm>
                        <a:off x="1900612" y="2870480"/>
                        <a:ext cx="1826436" cy="624228"/>
                      </a:xfrm>
                      <a:prstGeom prst="rect">
                        <a:avLst/>
                      </a:prstGeom>
                      <a:solidFill>
                        <a:srgbClr val="7030A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a:t>BWP(1,1)</a:t>
                          </a:r>
                        </a:p>
                        <a:p>
                          <a:pPr algn="ctr"/>
                          <a:r>
                            <a:rPr lang="en-US" altLang="ko-KR" sz="1400" dirty="0"/>
                            <a:t>(200MHz)</a:t>
                          </a:r>
                          <a:endParaRPr lang="ko-KR" altLang="en-US" sz="1400" dirty="0"/>
                        </a:p>
                      </a:txBody>
                      <a:useSpRect/>
                    </a:txSp>
                    <a:style>
                      <a:lnRef idx="2">
                        <a:schemeClr val="accent6">
                          <a:shade val="50000"/>
                        </a:schemeClr>
                      </a:lnRef>
                      <a:fillRef idx="1">
                        <a:schemeClr val="accent6"/>
                      </a:fillRef>
                      <a:effectRef idx="0">
                        <a:schemeClr val="accent6"/>
                      </a:effectRef>
                      <a:fontRef idx="minor">
                        <a:schemeClr val="lt1"/>
                      </a:fontRef>
                    </a:style>
                  </a:sp>
                  <a:sp>
                    <a:nvSpPr>
                      <a:cNvPr id="25" name="직사각형 17"/>
                      <a:cNvSpPr/>
                    </a:nvSpPr>
                    <a:spPr>
                      <a:xfrm>
                        <a:off x="3727048" y="2870480"/>
                        <a:ext cx="1799532" cy="624228"/>
                      </a:xfrm>
                      <a:prstGeom prst="rect">
                        <a:avLst/>
                      </a:prstGeom>
                      <a:solidFill>
                        <a:srgbClr val="7030A0"/>
                      </a:solidFill>
                      <a:ln w="38100">
                        <a:solidFill>
                          <a:srgbClr val="FF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a:solidFill>
                                <a:schemeClr val="bg1"/>
                              </a:solidFill>
                            </a:rPr>
                            <a:t>BWP(2,1)</a:t>
                          </a:r>
                        </a:p>
                        <a:p>
                          <a:pPr algn="ctr"/>
                          <a:r>
                            <a:rPr lang="en-US" altLang="ko-KR" sz="1400" dirty="0">
                              <a:solidFill>
                                <a:schemeClr val="bg1"/>
                              </a:solidFill>
                            </a:rPr>
                            <a:t>(200MHz)</a:t>
                          </a:r>
                          <a:endParaRPr lang="ko-KR" altLang="en-US" sz="1400" dirty="0">
                            <a:solidFill>
                              <a:schemeClr val="bg1"/>
                            </a:solidFill>
                          </a:endParaRPr>
                        </a:p>
                      </a:txBody>
                      <a:useSpRect/>
                    </a:txSp>
                    <a:style>
                      <a:lnRef idx="2">
                        <a:schemeClr val="accent6">
                          <a:shade val="50000"/>
                        </a:schemeClr>
                      </a:lnRef>
                      <a:fillRef idx="1">
                        <a:schemeClr val="accent6"/>
                      </a:fillRef>
                      <a:effectRef idx="0">
                        <a:schemeClr val="accent6"/>
                      </a:effectRef>
                      <a:fontRef idx="minor">
                        <a:schemeClr val="lt1"/>
                      </a:fontRef>
                    </a:style>
                  </a:sp>
                  <a:sp>
                    <a:nvSpPr>
                      <a:cNvPr id="26" name="직사각형 3"/>
                      <a:cNvSpPr/>
                    </a:nvSpPr>
                    <a:spPr>
                      <a:xfrm>
                        <a:off x="3727048" y="2176886"/>
                        <a:ext cx="1826436" cy="559012"/>
                      </a:xfrm>
                      <a:prstGeom prst="rect">
                        <a:avLst/>
                      </a:prstGeom>
                      <a:solidFill>
                        <a:schemeClr val="accent1">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smtClean="0">
                              <a:solidFill>
                                <a:schemeClr val="tx1"/>
                              </a:solidFill>
                            </a:rPr>
                            <a:t>UE2 </a:t>
                          </a:r>
                          <a:r>
                            <a:rPr lang="en-US" altLang="ko-KR" dirty="0">
                              <a:solidFill>
                                <a:schemeClr val="tx1"/>
                              </a:solidFill>
                            </a:rPr>
                            <a:t>CC2</a:t>
                          </a:r>
                        </a:p>
                        <a:p>
                          <a:pPr algn="ctr"/>
                          <a:r>
                            <a:rPr lang="en-US" altLang="ko-KR" sz="1400" dirty="0">
                              <a:solidFill>
                                <a:schemeClr val="tx1"/>
                              </a:solidFill>
                            </a:rPr>
                            <a:t>(200MHz)</a:t>
                          </a:r>
                          <a:endParaRPr lang="ko-KR" alt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직사각형 17"/>
                      <a:cNvSpPr/>
                    </a:nvSpPr>
                    <a:spPr>
                      <a:xfrm>
                        <a:off x="1886752" y="2870475"/>
                        <a:ext cx="1826436" cy="624228"/>
                      </a:xfrm>
                      <a:prstGeom prst="rect">
                        <a:avLst/>
                      </a:prstGeom>
                      <a:solidFill>
                        <a:schemeClr val="accent3"/>
                      </a:solidFill>
                      <a:ln w="38100">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smtClean="0">
                              <a:solidFill>
                                <a:schemeClr val="tx1"/>
                              </a:solidFill>
                            </a:rPr>
                            <a:t>BWP(1,1)?</a:t>
                          </a:r>
                        </a:p>
                        <a:p>
                          <a:pPr algn="ctr"/>
                          <a:r>
                            <a:rPr lang="en-US" altLang="ko-KR" sz="1400" dirty="0" smtClean="0">
                              <a:solidFill>
                                <a:schemeClr val="tx1"/>
                              </a:solidFill>
                            </a:rPr>
                            <a:t>(200MHz)</a:t>
                          </a:r>
                          <a:endParaRPr lang="ko-KR" altLang="en-US" sz="1400" dirty="0">
                            <a:solidFill>
                              <a:schemeClr val="tx1"/>
                            </a:solidFill>
                          </a:endParaRPr>
                        </a:p>
                      </a:txBody>
                      <a:useSpRect/>
                    </a:txSp>
                    <a:style>
                      <a:lnRef idx="2">
                        <a:schemeClr val="accent6">
                          <a:shade val="50000"/>
                        </a:schemeClr>
                      </a:lnRef>
                      <a:fillRef idx="1">
                        <a:schemeClr val="accent6"/>
                      </a:fillRef>
                      <a:effectRef idx="0">
                        <a:schemeClr val="accent6"/>
                      </a:effectRef>
                      <a:fontRef idx="minor">
                        <a:schemeClr val="lt1"/>
                      </a:fontRef>
                    </a:style>
                  </a:sp>
                  <a:sp>
                    <a:nvSpPr>
                      <a:cNvPr id="16" name="직사각형 17"/>
                      <a:cNvSpPr/>
                    </a:nvSpPr>
                    <a:spPr>
                      <a:xfrm>
                        <a:off x="3740898" y="2870475"/>
                        <a:ext cx="1799532" cy="624228"/>
                      </a:xfrm>
                      <a:prstGeom prst="rect">
                        <a:avLst/>
                      </a:prstGeom>
                      <a:solidFill>
                        <a:schemeClr val="accent3"/>
                      </a:solidFill>
                      <a:ln w="38100">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smtClean="0">
                              <a:solidFill>
                                <a:schemeClr val="tx1"/>
                              </a:solidFill>
                            </a:rPr>
                            <a:t>BWP(2,1)?</a:t>
                          </a:r>
                        </a:p>
                        <a:p>
                          <a:pPr algn="ctr"/>
                          <a:r>
                            <a:rPr lang="en-US" altLang="ko-KR" sz="1400" dirty="0" smtClean="0">
                              <a:solidFill>
                                <a:schemeClr val="tx1"/>
                              </a:solidFill>
                            </a:rPr>
                            <a:t>(200MHz)</a:t>
                          </a:r>
                          <a:endParaRPr lang="ko-KR" altLang="en-US" sz="1400" dirty="0">
                            <a:solidFill>
                              <a:schemeClr val="tx1"/>
                            </a:solidFill>
                          </a:endParaRPr>
                        </a:p>
                      </a:txBody>
                      <a:useSpRect/>
                    </a:txSp>
                    <a:style>
                      <a:lnRef idx="2">
                        <a:schemeClr val="accent6">
                          <a:shade val="50000"/>
                        </a:schemeClr>
                      </a:lnRef>
                      <a:fillRef idx="1">
                        <a:schemeClr val="accent6"/>
                      </a:fillRef>
                      <a:effectRef idx="0">
                        <a:schemeClr val="accent6"/>
                      </a:effectRef>
                      <a:fontRef idx="minor">
                        <a:schemeClr val="lt1"/>
                      </a:fontRef>
                    </a:style>
                  </a:sp>
                  <a:sp>
                    <a:nvSpPr>
                      <a:cNvPr id="17" name="모서리가 둥근 사각형 설명선 30"/>
                      <a:cNvSpPr/>
                    </a:nvSpPr>
                    <a:spPr>
                      <a:xfrm>
                        <a:off x="6598530" y="2592199"/>
                        <a:ext cx="3148143" cy="607418"/>
                      </a:xfrm>
                      <a:prstGeom prst="wedgeRoundRectCallout">
                        <a:avLst>
                          <a:gd name="adj1" fmla="val -76291"/>
                          <a:gd name="adj2" fmla="val 59772"/>
                          <a:gd name="adj3" fmla="val 16667"/>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ko-KR" dirty="0" smtClean="0">
                              <a:solidFill>
                                <a:schemeClr val="bg1"/>
                              </a:solidFill>
                            </a:rPr>
                            <a:t>RAN1 clarification is needed</a:t>
                          </a:r>
                          <a:endParaRPr lang="ko-KR" altLang="en-US" strike="sngStrike"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 name="矩形 2"/>
                      <a:cNvSpPr/>
                    </a:nvSpPr>
                    <a:spPr>
                      <a:xfrm>
                        <a:off x="883096" y="2222867"/>
                        <a:ext cx="561372"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ko-KR" dirty="0" smtClean="0"/>
                            <a:t>UE2</a:t>
                          </a:r>
                          <a:endParaRPr lang="ko-KR" altLang="en-US" dirty="0"/>
                        </a:p>
                      </a:txBody>
                      <a:useSpRect/>
                    </a:txSp>
                  </a:sp>
                </lc:lockedCanvas>
              </a:graphicData>
            </a:graphic>
          </wp:inline>
        </w:drawing>
      </w:r>
    </w:p>
    <w:p w:rsidR="005F1A46" w:rsidRDefault="005F1A46" w:rsidP="005F1A46">
      <w:pPr>
        <w:jc w:val="center"/>
      </w:pPr>
      <w:r>
        <w:t>Fig. 1, Wideband operation Case 2 [2]</w:t>
      </w:r>
    </w:p>
    <w:p w:rsidR="004B3A1A" w:rsidRDefault="004B3A1A" w:rsidP="0035495C">
      <w:r>
        <w:t xml:space="preserve">In this </w:t>
      </w:r>
      <w:r w:rsidR="00561C10">
        <w:t>contribution</w:t>
      </w:r>
      <w:r>
        <w:t xml:space="preserve">, we </w:t>
      </w:r>
      <w:r w:rsidR="001367E9">
        <w:t xml:space="preserve">find that the confusion mainly comes from the understanding of the concept of “serving cell” in the </w:t>
      </w:r>
      <w:r w:rsidR="00F51A68">
        <w:t xml:space="preserve">above </w:t>
      </w:r>
      <w:r w:rsidR="001367E9">
        <w:t>RAN1 agreement, and further clarify the slight difference of the concept between the wideband operation and normal operation. W</w:t>
      </w:r>
      <w:r w:rsidR="00DD5A61">
        <w:t xml:space="preserve">ith this clarification, </w:t>
      </w:r>
      <w:r w:rsidR="003D1385">
        <w:t xml:space="preserve">all of the agreements on wideband operation in both RAN1 and RAN4 </w:t>
      </w:r>
      <w:r w:rsidR="001367E9">
        <w:t xml:space="preserve">can </w:t>
      </w:r>
      <w:r w:rsidR="003D1385">
        <w:t xml:space="preserve">keep consistent and </w:t>
      </w:r>
      <w:r w:rsidR="00DD5A61">
        <w:t xml:space="preserve">no more confusion will be expected. </w:t>
      </w:r>
      <w:r w:rsidR="00DE51E4">
        <w:t>In addition, we also discuss</w:t>
      </w:r>
      <w:r w:rsidR="00FD62B0">
        <w:t xml:space="preserve"> the remaining issue on spectrum utilization from UE prospectiv</w:t>
      </w:r>
      <w:r w:rsidR="00DE51E4">
        <w:t xml:space="preserve">e in the wideband operation, and </w:t>
      </w:r>
      <w:r w:rsidR="00FD62B0">
        <w:t>propose to use option 1.</w:t>
      </w:r>
    </w:p>
    <w:p w:rsidR="00A774B4" w:rsidRDefault="004B3A1A" w:rsidP="003C3BBA">
      <w:pPr>
        <w:pStyle w:val="Heading2"/>
      </w:pPr>
      <w:r>
        <w:t>2</w:t>
      </w:r>
      <w:r w:rsidR="00A774B4">
        <w:t xml:space="preserve">. </w:t>
      </w:r>
      <w:r w:rsidR="00650111">
        <w:t>Discussion</w:t>
      </w:r>
    </w:p>
    <w:p w:rsidR="00066088" w:rsidRDefault="00066088" w:rsidP="00066088">
      <w:r>
        <w:t>In the RAN1 agreement on active number of BWP in the wideband operation:</w:t>
      </w:r>
    </w:p>
    <w:p w:rsidR="00066088" w:rsidRDefault="00066088" w:rsidP="00066088">
      <w:r w:rsidRPr="001A14EB">
        <w:rPr>
          <w:i/>
        </w:rPr>
        <w:t>In Rel-15, for a UE, there is at most one active DL BWP and at most one active UL BWP at a given time for a serving cell</w:t>
      </w:r>
    </w:p>
    <w:p w:rsidR="00066088" w:rsidRDefault="00066088" w:rsidP="00AF32D2">
      <w:r>
        <w:t xml:space="preserve">there are two possible interpretation on what is a “serving cell” in the wideband operation: </w:t>
      </w:r>
    </w:p>
    <w:p w:rsidR="002E784D" w:rsidRDefault="00066088" w:rsidP="00AF32D2">
      <w:r>
        <w:t>1) “</w:t>
      </w:r>
      <w:r w:rsidR="002536DD">
        <w:t xml:space="preserve">a </w:t>
      </w:r>
      <w:r>
        <w:t xml:space="preserve">serving cell” corresponds to the wideband CC. If </w:t>
      </w:r>
      <w:r w:rsidR="002E784D">
        <w:t>this is the case, then BWP(2,1) in Fig. 1 is not supported</w:t>
      </w:r>
      <w:r w:rsidR="002536DD">
        <w:t xml:space="preserve"> according to the above RAN1 agreement, and it leads to non-support of CA operation which is obviously not the original purpose of introducing the concept of wideband operation.</w:t>
      </w:r>
    </w:p>
    <w:p w:rsidR="002536DD" w:rsidRDefault="002536DD" w:rsidP="00AF32D2">
      <w:r>
        <w:t>2)  “a serving cell” corresponds to one CC of a CA UE (e.g., UE2 in Fig. 1) , then BWP(2,1) in Fig. 1 should be supported according to the above RAN1 agreement.</w:t>
      </w:r>
    </w:p>
    <w:p w:rsidR="00066088" w:rsidRDefault="00066088" w:rsidP="00066088">
      <w:r>
        <w:t xml:space="preserve">If we look back the initial RAN1 agreement which introduces the wideband operation: </w:t>
      </w:r>
    </w:p>
    <w:p w:rsidR="00066088" w:rsidRPr="003C1347" w:rsidRDefault="00066088" w:rsidP="00066088">
      <w:pPr>
        <w:rPr>
          <w:i/>
        </w:rPr>
      </w:pPr>
      <w:r w:rsidRPr="003C1347">
        <w:rPr>
          <w:i/>
        </w:rPr>
        <w:t>A gNB can operate simultaneously as wideband CC for some UEs and as a set of intra-band contiguous CCs with CA for other UEs</w:t>
      </w:r>
      <w:r>
        <w:rPr>
          <w:i/>
        </w:rPr>
        <w:t>.</w:t>
      </w:r>
    </w:p>
    <w:p w:rsidR="00486CE9" w:rsidRDefault="00066088" w:rsidP="00066088">
      <w:r>
        <w:lastRenderedPageBreak/>
        <w:t xml:space="preserve">Under the proposed wideband operation, it actually change views on “cell” among different types of UEs if we may still treat one CC as one cell. For example, </w:t>
      </w:r>
    </w:p>
    <w:p w:rsidR="00486CE9" w:rsidRDefault="00486CE9" w:rsidP="00486CE9">
      <w:pPr>
        <w:pStyle w:val="ListParagraph"/>
        <w:numPr>
          <w:ilvl w:val="0"/>
          <w:numId w:val="4"/>
        </w:numPr>
      </w:pPr>
      <w:r>
        <w:t>F</w:t>
      </w:r>
      <w:r w:rsidR="00066088">
        <w:t xml:space="preserve">or a wideband UE in the wideband operation, it understands its serving cell is the wideband CC, </w:t>
      </w:r>
    </w:p>
    <w:p w:rsidR="00486CE9" w:rsidRDefault="00486CE9" w:rsidP="00486CE9">
      <w:pPr>
        <w:pStyle w:val="ListParagraph"/>
        <w:numPr>
          <w:ilvl w:val="0"/>
          <w:numId w:val="4"/>
        </w:numPr>
      </w:pPr>
      <w:r>
        <w:t>A</w:t>
      </w:r>
      <w:r w:rsidR="00066088">
        <w:t>t the same time, for a CA UE in the wideband operation, it understands it has multiple serving cells with each servi</w:t>
      </w:r>
      <w:r>
        <w:t>ng cell corresponding to one CC</w:t>
      </w:r>
    </w:p>
    <w:p w:rsidR="00066088" w:rsidRDefault="00486CE9" w:rsidP="00486CE9">
      <w:pPr>
        <w:pStyle w:val="ListParagraph"/>
        <w:numPr>
          <w:ilvl w:val="0"/>
          <w:numId w:val="4"/>
        </w:numPr>
      </w:pPr>
      <w:r>
        <w:t>For a narrow band UE in the wideband operation, it understands its serving cell is the wideband CC.</w:t>
      </w:r>
    </w:p>
    <w:p w:rsidR="00066088" w:rsidRDefault="002536DD" w:rsidP="00AF32D2">
      <w:r>
        <w:t xml:space="preserve">Therefore, the second understanding should be valid by clarifying that a serving cell corresponds to one CC in the wideband operation, and different types of UEs in the wideband operation may have its own views on its serving cell(s), although they </w:t>
      </w:r>
      <w:r w:rsidR="008C7C60">
        <w:t>belong</w:t>
      </w:r>
      <w:r>
        <w:t xml:space="preserve"> to the same gNB.</w:t>
      </w:r>
      <w:r w:rsidR="00486CE9">
        <w:t xml:space="preserve"> And this is aligned with all of the agreements in both RAN1 and RAN4 on wideband operation</w:t>
      </w:r>
      <w:r w:rsidR="00BA7E5C">
        <w:t>.</w:t>
      </w:r>
    </w:p>
    <w:p w:rsidR="001522E6" w:rsidRPr="00D40093" w:rsidRDefault="001522E6" w:rsidP="004B3A1A">
      <w:pPr>
        <w:rPr>
          <w:b/>
        </w:rPr>
      </w:pPr>
      <w:r w:rsidRPr="00D40093">
        <w:rPr>
          <w:b/>
        </w:rPr>
        <w:t xml:space="preserve">Proposal 1:  </w:t>
      </w:r>
      <w:r w:rsidR="00486CE9">
        <w:rPr>
          <w:b/>
        </w:rPr>
        <w:t>RAN4 should clarify that a serving cell corresponds to one CC</w:t>
      </w:r>
      <w:r w:rsidR="00D724EF">
        <w:rPr>
          <w:b/>
        </w:rPr>
        <w:t xml:space="preserve"> from UE perspective</w:t>
      </w:r>
      <w:r w:rsidR="00486CE9">
        <w:rPr>
          <w:b/>
        </w:rPr>
        <w:t xml:space="preserve"> in the wideband operation, and different types of UEs (</w:t>
      </w:r>
      <w:r w:rsidR="008C7C60">
        <w:rPr>
          <w:b/>
        </w:rPr>
        <w:t>i.e., n</w:t>
      </w:r>
      <w:r w:rsidR="00486CE9">
        <w:rPr>
          <w:b/>
        </w:rPr>
        <w:t>arrow band UE, CA UE, wideband UE)</w:t>
      </w:r>
      <w:r w:rsidR="008C7C60">
        <w:rPr>
          <w:b/>
        </w:rPr>
        <w:t xml:space="preserve"> may have its own views on its serving cell(s), although they belong to the same gNB.</w:t>
      </w:r>
    </w:p>
    <w:p w:rsidR="00666B6C" w:rsidRDefault="00E658E8" w:rsidP="004B3A1A">
      <w:r>
        <w:t xml:space="preserve">Under the same logic, </w:t>
      </w:r>
      <w:r w:rsidR="00BA7E5C">
        <w:t>for the open issue on the spectrum utilization in the wideband operation from UE prospective</w:t>
      </w:r>
      <w:r w:rsidR="004D649C">
        <w:t xml:space="preserve"> [2]</w:t>
      </w:r>
      <w:r w:rsidR="00EE576C">
        <w:t xml:space="preserve"> [3]</w:t>
      </w:r>
      <w:r w:rsidR="004D649C">
        <w:t xml:space="preserve">, option 1 should be taken which is per CC based. </w:t>
      </w:r>
    </w:p>
    <w:p w:rsidR="00A42068" w:rsidRPr="00D40093" w:rsidRDefault="00C00559" w:rsidP="00A42068">
      <w:pPr>
        <w:rPr>
          <w:b/>
        </w:rPr>
      </w:pPr>
      <w:r>
        <w:rPr>
          <w:b/>
        </w:rPr>
        <w:t>Proposal 2</w:t>
      </w:r>
      <w:r w:rsidR="00A42068" w:rsidRPr="00D40093">
        <w:rPr>
          <w:b/>
        </w:rPr>
        <w:t xml:space="preserve">:  </w:t>
      </w:r>
      <w:r w:rsidR="00C21565">
        <w:rPr>
          <w:b/>
        </w:rPr>
        <w:t>Take option 1 (per CC based) to define the spectrum utilization in the wideband operation from UE prospective.</w:t>
      </w:r>
    </w:p>
    <w:p w:rsidR="00176624" w:rsidRDefault="00176624" w:rsidP="004B3A1A"/>
    <w:p w:rsidR="00176624" w:rsidRDefault="004C4CFD" w:rsidP="004C4CFD">
      <w:pPr>
        <w:pStyle w:val="Heading2"/>
      </w:pPr>
      <w:r>
        <w:t>3. Conclusions</w:t>
      </w:r>
    </w:p>
    <w:p w:rsidR="004C4CFD" w:rsidRDefault="004C4CFD" w:rsidP="004B3A1A">
      <w:r>
        <w:t>Based on the above discussions, we have the following observation</w:t>
      </w:r>
      <w:r w:rsidR="00AF32D2">
        <w:t>s</w:t>
      </w:r>
      <w:r>
        <w:t xml:space="preserve"> and proposals on </w:t>
      </w:r>
      <w:r w:rsidR="00AF32D2">
        <w:t>the wideband operation</w:t>
      </w:r>
      <w:r>
        <w:t>:</w:t>
      </w:r>
    </w:p>
    <w:p w:rsidR="00504387" w:rsidRPr="00D40093" w:rsidRDefault="00504387" w:rsidP="00504387">
      <w:pPr>
        <w:rPr>
          <w:b/>
        </w:rPr>
      </w:pPr>
      <w:r>
        <w:rPr>
          <w:b/>
        </w:rPr>
        <w:t xml:space="preserve"> </w:t>
      </w:r>
      <w:r w:rsidR="0052202A" w:rsidRPr="00D40093">
        <w:rPr>
          <w:b/>
        </w:rPr>
        <w:t xml:space="preserve">Proposal 1:  </w:t>
      </w:r>
      <w:r w:rsidR="0052202A">
        <w:rPr>
          <w:b/>
        </w:rPr>
        <w:t xml:space="preserve">RAN4 should clarify that a serving cell corresponds to one CC </w:t>
      </w:r>
      <w:r w:rsidR="00D724EF">
        <w:rPr>
          <w:b/>
        </w:rPr>
        <w:t xml:space="preserve">from UE perspective </w:t>
      </w:r>
      <w:r w:rsidR="0052202A">
        <w:rPr>
          <w:b/>
        </w:rPr>
        <w:t>in the wideband operation, and different types of UEs (i.e., narrow band UE, CA UE, wideband UE) may have its own views on its serving cell(s), although they belong to the same gNB.</w:t>
      </w:r>
    </w:p>
    <w:p w:rsidR="0052202A" w:rsidRPr="00D40093" w:rsidRDefault="0052202A" w:rsidP="0052202A">
      <w:pPr>
        <w:rPr>
          <w:b/>
        </w:rPr>
      </w:pPr>
      <w:r>
        <w:rPr>
          <w:b/>
        </w:rPr>
        <w:t>Proposal 2</w:t>
      </w:r>
      <w:r w:rsidRPr="00D40093">
        <w:rPr>
          <w:b/>
        </w:rPr>
        <w:t xml:space="preserve">:  </w:t>
      </w:r>
      <w:r>
        <w:rPr>
          <w:b/>
        </w:rPr>
        <w:t>Take option 1 (per CC based) to define the spectrum utilization in the wideband operation from UE prospective.</w:t>
      </w:r>
    </w:p>
    <w:p w:rsidR="004C4CFD" w:rsidRDefault="004C4CFD" w:rsidP="004B3A1A"/>
    <w:p w:rsidR="00A774B4" w:rsidRPr="00AD360E" w:rsidRDefault="00A774B4" w:rsidP="00586606">
      <w:pPr>
        <w:pStyle w:val="Heading1"/>
        <w:rPr>
          <w:sz w:val="32"/>
        </w:rPr>
      </w:pPr>
      <w:r w:rsidRPr="00AD360E">
        <w:rPr>
          <w:sz w:val="32"/>
        </w:rPr>
        <w:t>References</w:t>
      </w:r>
    </w:p>
    <w:p w:rsidR="00AE5F5B" w:rsidRDefault="00AE5F5B" w:rsidP="00AE5F5B">
      <w:r>
        <w:t xml:space="preserve">[1] </w:t>
      </w:r>
      <w:r w:rsidR="001A14EB">
        <w:t>Meeting report on RAN1 NR AH#3</w:t>
      </w:r>
      <w:r w:rsidR="00D306F9">
        <w:t>.</w:t>
      </w:r>
    </w:p>
    <w:p w:rsidR="00A774B4" w:rsidRDefault="00AE5F5B" w:rsidP="009C515A">
      <w:r>
        <w:t xml:space="preserve">[2] </w:t>
      </w:r>
      <w:r w:rsidR="00BC0FF3">
        <w:t>R4-1711963, WF on wideband operation, Intel and LG</w:t>
      </w:r>
    </w:p>
    <w:p w:rsidR="00ED24C4" w:rsidRDefault="00ED24C4" w:rsidP="00ED24C4">
      <w:r>
        <w:t xml:space="preserve">[3] </w:t>
      </w:r>
      <w:r w:rsidR="000326F7">
        <w:t>R4-17</w:t>
      </w:r>
      <w:r w:rsidR="00740361">
        <w:t>08851</w:t>
      </w:r>
      <w:r w:rsidR="000326F7">
        <w:t xml:space="preserve">, </w:t>
      </w:r>
      <w:r w:rsidR="00740361">
        <w:t>WF on the spectrum utilization</w:t>
      </w:r>
      <w:r w:rsidR="000326F7">
        <w:t xml:space="preserve"> in</w:t>
      </w:r>
      <w:r w:rsidR="00740361">
        <w:t xml:space="preserve"> the</w:t>
      </w:r>
      <w:r w:rsidR="000326F7">
        <w:t xml:space="preserve"> wideband operation, ZTE</w:t>
      </w:r>
    </w:p>
    <w:p w:rsidR="00ED24C4" w:rsidRDefault="00ED24C4" w:rsidP="009C515A"/>
    <w:sectPr w:rsidR="00ED24C4" w:rsidSect="00E46825">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DEA" w:rsidRDefault="00026DEA">
      <w:r>
        <w:separator/>
      </w:r>
    </w:p>
  </w:endnote>
  <w:endnote w:type="continuationSeparator" w:id="0">
    <w:p w:rsidR="00026DEA" w:rsidRDefault="00026D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DEA" w:rsidRDefault="00026DEA">
      <w:r>
        <w:separator/>
      </w:r>
    </w:p>
  </w:footnote>
  <w:footnote w:type="continuationSeparator" w:id="0">
    <w:p w:rsidR="00026DEA" w:rsidRDefault="00026D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661F35"/>
    <w:multiLevelType w:val="hybridMultilevel"/>
    <w:tmpl w:val="FE04A2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20097"/>
    <w:rsid w:val="00026DEA"/>
    <w:rsid w:val="000326F7"/>
    <w:rsid w:val="00033397"/>
    <w:rsid w:val="00040095"/>
    <w:rsid w:val="00051834"/>
    <w:rsid w:val="000540D2"/>
    <w:rsid w:val="00054A22"/>
    <w:rsid w:val="00054C25"/>
    <w:rsid w:val="00063CCE"/>
    <w:rsid w:val="000641A0"/>
    <w:rsid w:val="000655A6"/>
    <w:rsid w:val="00066088"/>
    <w:rsid w:val="00080512"/>
    <w:rsid w:val="000A329E"/>
    <w:rsid w:val="000A5561"/>
    <w:rsid w:val="000D4C27"/>
    <w:rsid w:val="000D58AB"/>
    <w:rsid w:val="000E0120"/>
    <w:rsid w:val="001367E9"/>
    <w:rsid w:val="001510E7"/>
    <w:rsid w:val="001522E6"/>
    <w:rsid w:val="001622C8"/>
    <w:rsid w:val="00164AF3"/>
    <w:rsid w:val="00175853"/>
    <w:rsid w:val="00176624"/>
    <w:rsid w:val="00176888"/>
    <w:rsid w:val="00192B14"/>
    <w:rsid w:val="001A14EB"/>
    <w:rsid w:val="001D02C2"/>
    <w:rsid w:val="001D6D51"/>
    <w:rsid w:val="001F168B"/>
    <w:rsid w:val="002347A2"/>
    <w:rsid w:val="0023744D"/>
    <w:rsid w:val="002536DD"/>
    <w:rsid w:val="00262479"/>
    <w:rsid w:val="00267FB0"/>
    <w:rsid w:val="002E784D"/>
    <w:rsid w:val="00300132"/>
    <w:rsid w:val="003172DC"/>
    <w:rsid w:val="00331BAE"/>
    <w:rsid w:val="00334A6D"/>
    <w:rsid w:val="00345B61"/>
    <w:rsid w:val="003514C8"/>
    <w:rsid w:val="0035462D"/>
    <w:rsid w:val="0035495C"/>
    <w:rsid w:val="00361317"/>
    <w:rsid w:val="003736EA"/>
    <w:rsid w:val="003A108D"/>
    <w:rsid w:val="003C1347"/>
    <w:rsid w:val="003C3971"/>
    <w:rsid w:val="003C3BBA"/>
    <w:rsid w:val="003D1385"/>
    <w:rsid w:val="003D2164"/>
    <w:rsid w:val="003E0C39"/>
    <w:rsid w:val="004232C3"/>
    <w:rsid w:val="00486CE9"/>
    <w:rsid w:val="0049105B"/>
    <w:rsid w:val="004B347D"/>
    <w:rsid w:val="004B3A1A"/>
    <w:rsid w:val="004C4CFD"/>
    <w:rsid w:val="004D3578"/>
    <w:rsid w:val="004D649C"/>
    <w:rsid w:val="004E213A"/>
    <w:rsid w:val="005028A1"/>
    <w:rsid w:val="00504387"/>
    <w:rsid w:val="00510D66"/>
    <w:rsid w:val="0052095E"/>
    <w:rsid w:val="0052202A"/>
    <w:rsid w:val="00543E6C"/>
    <w:rsid w:val="005512DE"/>
    <w:rsid w:val="0056127F"/>
    <w:rsid w:val="00561A57"/>
    <w:rsid w:val="00561C10"/>
    <w:rsid w:val="00565087"/>
    <w:rsid w:val="00586606"/>
    <w:rsid w:val="005C2564"/>
    <w:rsid w:val="005D2E01"/>
    <w:rsid w:val="005F1A46"/>
    <w:rsid w:val="005F7E37"/>
    <w:rsid w:val="00604D7A"/>
    <w:rsid w:val="00614FDF"/>
    <w:rsid w:val="0062613F"/>
    <w:rsid w:val="00650111"/>
    <w:rsid w:val="00653213"/>
    <w:rsid w:val="00666B6C"/>
    <w:rsid w:val="006A399F"/>
    <w:rsid w:val="006D6C26"/>
    <w:rsid w:val="006E5C86"/>
    <w:rsid w:val="007059C4"/>
    <w:rsid w:val="00706F17"/>
    <w:rsid w:val="00734A5B"/>
    <w:rsid w:val="00740361"/>
    <w:rsid w:val="00744E76"/>
    <w:rsid w:val="00765FC2"/>
    <w:rsid w:val="00781F0F"/>
    <w:rsid w:val="007B3134"/>
    <w:rsid w:val="007B7D83"/>
    <w:rsid w:val="007C08E6"/>
    <w:rsid w:val="007D123F"/>
    <w:rsid w:val="008028A4"/>
    <w:rsid w:val="008078D7"/>
    <w:rsid w:val="008125E2"/>
    <w:rsid w:val="00820E77"/>
    <w:rsid w:val="00826766"/>
    <w:rsid w:val="008423C0"/>
    <w:rsid w:val="008768CA"/>
    <w:rsid w:val="008B66BA"/>
    <w:rsid w:val="008C7C60"/>
    <w:rsid w:val="008F41AE"/>
    <w:rsid w:val="0090271F"/>
    <w:rsid w:val="00902E23"/>
    <w:rsid w:val="009112E9"/>
    <w:rsid w:val="0091348E"/>
    <w:rsid w:val="00917CCB"/>
    <w:rsid w:val="00942EC2"/>
    <w:rsid w:val="00945CBC"/>
    <w:rsid w:val="0096165E"/>
    <w:rsid w:val="0098788F"/>
    <w:rsid w:val="009A1A90"/>
    <w:rsid w:val="009A21F7"/>
    <w:rsid w:val="009B191B"/>
    <w:rsid w:val="009B4514"/>
    <w:rsid w:val="009B48D3"/>
    <w:rsid w:val="009C515A"/>
    <w:rsid w:val="009F37B7"/>
    <w:rsid w:val="00A03132"/>
    <w:rsid w:val="00A10F02"/>
    <w:rsid w:val="00A164B4"/>
    <w:rsid w:val="00A165F0"/>
    <w:rsid w:val="00A41EBD"/>
    <w:rsid w:val="00A42068"/>
    <w:rsid w:val="00A455E3"/>
    <w:rsid w:val="00A53724"/>
    <w:rsid w:val="00A56C07"/>
    <w:rsid w:val="00A63A52"/>
    <w:rsid w:val="00A70B2F"/>
    <w:rsid w:val="00A774B4"/>
    <w:rsid w:val="00A82346"/>
    <w:rsid w:val="00A859FB"/>
    <w:rsid w:val="00AC17A8"/>
    <w:rsid w:val="00AC4CF1"/>
    <w:rsid w:val="00AD360E"/>
    <w:rsid w:val="00AE5F5B"/>
    <w:rsid w:val="00AF32D2"/>
    <w:rsid w:val="00B10CE5"/>
    <w:rsid w:val="00B12C72"/>
    <w:rsid w:val="00B15449"/>
    <w:rsid w:val="00B832BB"/>
    <w:rsid w:val="00BA1DAF"/>
    <w:rsid w:val="00BA2D09"/>
    <w:rsid w:val="00BA7E5C"/>
    <w:rsid w:val="00BC07AD"/>
    <w:rsid w:val="00BC0F7D"/>
    <w:rsid w:val="00BC0FF3"/>
    <w:rsid w:val="00BC1681"/>
    <w:rsid w:val="00BC63AE"/>
    <w:rsid w:val="00BF1126"/>
    <w:rsid w:val="00C00559"/>
    <w:rsid w:val="00C21565"/>
    <w:rsid w:val="00C2472D"/>
    <w:rsid w:val="00C33079"/>
    <w:rsid w:val="00C45231"/>
    <w:rsid w:val="00C61BFE"/>
    <w:rsid w:val="00C67EE2"/>
    <w:rsid w:val="00C72833"/>
    <w:rsid w:val="00C936E2"/>
    <w:rsid w:val="00C93F40"/>
    <w:rsid w:val="00CA03C7"/>
    <w:rsid w:val="00CA3D0C"/>
    <w:rsid w:val="00D02E1F"/>
    <w:rsid w:val="00D13D25"/>
    <w:rsid w:val="00D306F9"/>
    <w:rsid w:val="00D40093"/>
    <w:rsid w:val="00D47DD2"/>
    <w:rsid w:val="00D61653"/>
    <w:rsid w:val="00D724EF"/>
    <w:rsid w:val="00D738D6"/>
    <w:rsid w:val="00D755EB"/>
    <w:rsid w:val="00D837B9"/>
    <w:rsid w:val="00D87E00"/>
    <w:rsid w:val="00D9134D"/>
    <w:rsid w:val="00DA51E3"/>
    <w:rsid w:val="00DA7A03"/>
    <w:rsid w:val="00DB1818"/>
    <w:rsid w:val="00DB5E29"/>
    <w:rsid w:val="00DC309B"/>
    <w:rsid w:val="00DC4DA2"/>
    <w:rsid w:val="00DD459C"/>
    <w:rsid w:val="00DD5A61"/>
    <w:rsid w:val="00DE51E4"/>
    <w:rsid w:val="00DF2B1F"/>
    <w:rsid w:val="00DF62CD"/>
    <w:rsid w:val="00E06370"/>
    <w:rsid w:val="00E22905"/>
    <w:rsid w:val="00E46825"/>
    <w:rsid w:val="00E50CC2"/>
    <w:rsid w:val="00E658E8"/>
    <w:rsid w:val="00E77645"/>
    <w:rsid w:val="00EC311F"/>
    <w:rsid w:val="00EC4A25"/>
    <w:rsid w:val="00ED24C4"/>
    <w:rsid w:val="00EE270C"/>
    <w:rsid w:val="00EE576C"/>
    <w:rsid w:val="00EF50FD"/>
    <w:rsid w:val="00F025A2"/>
    <w:rsid w:val="00F04712"/>
    <w:rsid w:val="00F116E3"/>
    <w:rsid w:val="00F22EC7"/>
    <w:rsid w:val="00F51A68"/>
    <w:rsid w:val="00F653B8"/>
    <w:rsid w:val="00F70439"/>
    <w:rsid w:val="00F9001F"/>
    <w:rsid w:val="00FA1266"/>
    <w:rsid w:val="00FC1192"/>
    <w:rsid w:val="00FD62B0"/>
    <w:rsid w:val="00FE0B7F"/>
    <w:rsid w:val="00FE66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825"/>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7D123F"/>
    <w:pPr>
      <w:ind w:left="720"/>
      <w:contextualSpacing/>
    </w:p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JackeyCao1</cp:lastModifiedBy>
  <cp:revision>3</cp:revision>
  <dcterms:created xsi:type="dcterms:W3CDTF">2017-11-17T10:46:00Z</dcterms:created>
  <dcterms:modified xsi:type="dcterms:W3CDTF">2017-11-17T10:46:00Z</dcterms:modified>
</cp:coreProperties>
</file>